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6" w:type="dxa"/>
        <w:tblInd w:w="-72" w:type="dxa"/>
        <w:tblLayout w:type="fixed"/>
        <w:tblCellMar>
          <w:left w:w="70" w:type="dxa"/>
          <w:right w:w="70" w:type="dxa"/>
        </w:tblCellMar>
        <w:tblLook w:val="0000" w:firstRow="0" w:lastRow="0" w:firstColumn="0" w:lastColumn="0" w:noHBand="0" w:noVBand="0"/>
      </w:tblPr>
      <w:tblGrid>
        <w:gridCol w:w="4626"/>
        <w:gridCol w:w="4970"/>
      </w:tblGrid>
      <w:tr w:rsidR="008B604D" w:rsidTr="00753F19">
        <w:trPr>
          <w:trHeight w:val="1"/>
        </w:trPr>
        <w:tc>
          <w:tcPr>
            <w:tcW w:w="4626" w:type="dxa"/>
            <w:vAlign w:val="bottom"/>
          </w:tcPr>
          <w:p w:rsidR="008B604D" w:rsidRPr="00CE1339" w:rsidRDefault="008B604D" w:rsidP="00753F19">
            <w:pPr>
              <w:tabs>
                <w:tab w:val="left" w:pos="4536"/>
              </w:tabs>
              <w:spacing w:before="200" w:line="240" w:lineRule="exact"/>
              <w:ind w:right="68"/>
              <w:rPr>
                <w:sz w:val="24"/>
                <w:szCs w:val="18"/>
              </w:rPr>
            </w:pPr>
          </w:p>
        </w:tc>
        <w:tc>
          <w:tcPr>
            <w:tcW w:w="4970" w:type="dxa"/>
          </w:tcPr>
          <w:p w:rsidR="008B604D" w:rsidRPr="00AB5015" w:rsidRDefault="008B604D" w:rsidP="00A45BAF">
            <w:pPr>
              <w:suppressAutoHyphens/>
              <w:ind w:left="65" w:right="-69"/>
            </w:pPr>
          </w:p>
        </w:tc>
      </w:tr>
    </w:tbl>
    <w:p w:rsidR="009766DA" w:rsidRPr="008D7411" w:rsidRDefault="009766DA" w:rsidP="009766DA">
      <w:pPr>
        <w:autoSpaceDE w:val="0"/>
        <w:autoSpaceDN w:val="0"/>
        <w:adjustRightInd w:val="0"/>
        <w:jc w:val="center"/>
        <w:rPr>
          <w:szCs w:val="28"/>
        </w:rPr>
      </w:pPr>
    </w:p>
    <w:p w:rsidR="008D7411" w:rsidRPr="00753F19" w:rsidRDefault="00753F19" w:rsidP="00753F19">
      <w:pPr>
        <w:pStyle w:val="Default"/>
        <w:ind w:firstLine="709"/>
        <w:jc w:val="center"/>
        <w:rPr>
          <w:color w:val="auto"/>
          <w:sz w:val="28"/>
          <w:szCs w:val="28"/>
        </w:rPr>
      </w:pPr>
      <w:r w:rsidRPr="00753F19">
        <w:rPr>
          <w:color w:val="auto"/>
          <w:sz w:val="28"/>
          <w:szCs w:val="28"/>
        </w:rPr>
        <w:t>О</w:t>
      </w:r>
      <w:r>
        <w:rPr>
          <w:color w:val="auto"/>
          <w:sz w:val="28"/>
          <w:szCs w:val="28"/>
        </w:rPr>
        <w:t xml:space="preserve">б основных </w:t>
      </w:r>
      <w:r w:rsidRPr="00753F19">
        <w:rPr>
          <w:color w:val="auto"/>
          <w:sz w:val="28"/>
          <w:szCs w:val="28"/>
        </w:rPr>
        <w:t>требованиях, ограничениях,</w:t>
      </w:r>
      <w:r>
        <w:rPr>
          <w:color w:val="auto"/>
          <w:sz w:val="28"/>
          <w:szCs w:val="28"/>
        </w:rPr>
        <w:t xml:space="preserve"> установленных Указом Губернатора Иркутской области </w:t>
      </w:r>
      <w:r w:rsidRPr="00753F19">
        <w:rPr>
          <w:color w:val="auto"/>
          <w:sz w:val="28"/>
          <w:szCs w:val="28"/>
        </w:rPr>
        <w:t xml:space="preserve"> </w:t>
      </w:r>
      <w:r>
        <w:rPr>
          <w:color w:val="auto"/>
          <w:sz w:val="28"/>
          <w:szCs w:val="28"/>
        </w:rPr>
        <w:t>№ 279-уг от 12 октября 2020 г.</w:t>
      </w:r>
      <w:bookmarkStart w:id="0" w:name="_GoBack"/>
      <w:bookmarkEnd w:id="0"/>
      <w:r>
        <w:rPr>
          <w:color w:val="auto"/>
          <w:sz w:val="28"/>
          <w:szCs w:val="28"/>
        </w:rPr>
        <w:t xml:space="preserve"> для хозяйствующих субъектов, предоставляющих услуги общественного питания</w:t>
      </w:r>
    </w:p>
    <w:p w:rsidR="00753F19" w:rsidRDefault="00753F19" w:rsidP="00AB5015">
      <w:pPr>
        <w:pStyle w:val="Default"/>
        <w:ind w:firstLine="709"/>
        <w:jc w:val="both"/>
        <w:rPr>
          <w:color w:val="auto"/>
          <w:sz w:val="28"/>
          <w:szCs w:val="28"/>
        </w:rPr>
      </w:pPr>
    </w:p>
    <w:p w:rsidR="00AB5015" w:rsidRPr="00B3752D" w:rsidRDefault="00AB5015" w:rsidP="00AB5015">
      <w:pPr>
        <w:pStyle w:val="Default"/>
        <w:ind w:firstLine="709"/>
        <w:jc w:val="both"/>
        <w:rPr>
          <w:color w:val="auto"/>
          <w:sz w:val="28"/>
          <w:szCs w:val="28"/>
        </w:rPr>
      </w:pPr>
      <w:r w:rsidRPr="00B3752D">
        <w:rPr>
          <w:color w:val="auto"/>
          <w:sz w:val="28"/>
          <w:szCs w:val="28"/>
        </w:rPr>
        <w:t xml:space="preserve">В связи с ухудшением эпидемиологической ситуации, вызванной распространением новой коронавирусной инфекцией, на территории региона продолжают действовать ограничительные меры для </w:t>
      </w:r>
      <w:r w:rsidRPr="00B3752D">
        <w:rPr>
          <w:sz w:val="28"/>
          <w:szCs w:val="28"/>
        </w:rPr>
        <w:t>предприятий общественного питания</w:t>
      </w:r>
      <w:r w:rsidRPr="00B3752D">
        <w:rPr>
          <w:color w:val="auto"/>
          <w:sz w:val="28"/>
          <w:szCs w:val="28"/>
        </w:rPr>
        <w:t xml:space="preserve">. </w:t>
      </w:r>
    </w:p>
    <w:p w:rsidR="00AB5015" w:rsidRPr="00B3752D" w:rsidRDefault="00AB5015" w:rsidP="00AB5015">
      <w:pPr>
        <w:pStyle w:val="Default"/>
        <w:ind w:firstLine="709"/>
        <w:jc w:val="both"/>
        <w:rPr>
          <w:color w:val="auto"/>
          <w:sz w:val="28"/>
          <w:szCs w:val="28"/>
        </w:rPr>
      </w:pPr>
      <w:r w:rsidRPr="00B3752D">
        <w:rPr>
          <w:color w:val="auto"/>
          <w:sz w:val="28"/>
          <w:szCs w:val="28"/>
        </w:rPr>
        <w:t xml:space="preserve">Однако, по информации СМИ, а также публикуемой в социальных сетях гражданами, </w:t>
      </w:r>
      <w:r w:rsidR="00D57007" w:rsidRPr="00B3752D">
        <w:rPr>
          <w:sz w:val="28"/>
          <w:szCs w:val="28"/>
        </w:rPr>
        <w:t>предприяти</w:t>
      </w:r>
      <w:r w:rsidR="00D57007">
        <w:rPr>
          <w:sz w:val="28"/>
          <w:szCs w:val="28"/>
        </w:rPr>
        <w:t xml:space="preserve">ями </w:t>
      </w:r>
      <w:r w:rsidR="00D57007">
        <w:rPr>
          <w:color w:val="auto"/>
          <w:sz w:val="28"/>
          <w:szCs w:val="28"/>
        </w:rPr>
        <w:t xml:space="preserve">общественного питания </w:t>
      </w:r>
      <w:r w:rsidR="00CC78B9" w:rsidRPr="00B3752D">
        <w:rPr>
          <w:color w:val="auto"/>
          <w:sz w:val="28"/>
          <w:szCs w:val="28"/>
        </w:rPr>
        <w:t>не соблю</w:t>
      </w:r>
      <w:r w:rsidR="00CC78B9">
        <w:rPr>
          <w:color w:val="auto"/>
          <w:sz w:val="28"/>
          <w:szCs w:val="28"/>
        </w:rPr>
        <w:t>даются</w:t>
      </w:r>
      <w:r w:rsidRPr="00B3752D">
        <w:rPr>
          <w:color w:val="auto"/>
          <w:sz w:val="28"/>
          <w:szCs w:val="28"/>
        </w:rPr>
        <w:t xml:space="preserve"> ограничительны</w:t>
      </w:r>
      <w:r w:rsidR="00CC78B9">
        <w:rPr>
          <w:color w:val="auto"/>
          <w:sz w:val="28"/>
          <w:szCs w:val="28"/>
        </w:rPr>
        <w:t>е</w:t>
      </w:r>
      <w:r w:rsidRPr="00B3752D">
        <w:rPr>
          <w:color w:val="auto"/>
          <w:sz w:val="28"/>
          <w:szCs w:val="28"/>
        </w:rPr>
        <w:t xml:space="preserve"> мер</w:t>
      </w:r>
      <w:r w:rsidR="00CC78B9">
        <w:rPr>
          <w:color w:val="auto"/>
          <w:sz w:val="28"/>
          <w:szCs w:val="28"/>
        </w:rPr>
        <w:t>ы</w:t>
      </w:r>
      <w:r w:rsidRPr="00B3752D">
        <w:rPr>
          <w:color w:val="auto"/>
          <w:sz w:val="28"/>
          <w:szCs w:val="28"/>
        </w:rPr>
        <w:t xml:space="preserve"> по предупреждению распространения новой коронавирусной инфекции. </w:t>
      </w:r>
    </w:p>
    <w:p w:rsidR="00AB5015" w:rsidRPr="00B3752D" w:rsidRDefault="00AB5015" w:rsidP="00AB5015">
      <w:pPr>
        <w:pStyle w:val="Default"/>
        <w:ind w:firstLine="709"/>
        <w:jc w:val="both"/>
        <w:rPr>
          <w:color w:val="auto"/>
          <w:sz w:val="28"/>
          <w:szCs w:val="28"/>
        </w:rPr>
      </w:pPr>
      <w:r w:rsidRPr="00B3752D">
        <w:rPr>
          <w:color w:val="auto"/>
          <w:sz w:val="28"/>
          <w:szCs w:val="28"/>
        </w:rPr>
        <w:t>Указом Губернатора Иркутской области № 279-уг установлен «Перечень организаций и индивидуальных предпринимателей, деятельность которых приостановлена (ограничена) в целях обеспечения санитарно-эпидемиологического благополучия населения в связи с распространением новой коронавирусной инфекции (COVID-19)» (далее – Перечень).</w:t>
      </w:r>
    </w:p>
    <w:p w:rsidR="00AB5015" w:rsidRPr="00B3752D" w:rsidRDefault="00AB5015" w:rsidP="00AB5015">
      <w:pPr>
        <w:pStyle w:val="Default"/>
        <w:ind w:firstLine="709"/>
        <w:jc w:val="both"/>
        <w:rPr>
          <w:color w:val="auto"/>
          <w:sz w:val="28"/>
          <w:szCs w:val="28"/>
        </w:rPr>
      </w:pPr>
      <w:r w:rsidRPr="00B3752D">
        <w:rPr>
          <w:color w:val="auto"/>
          <w:sz w:val="28"/>
          <w:szCs w:val="28"/>
        </w:rPr>
        <w:t xml:space="preserve">В соответствии с </w:t>
      </w:r>
      <w:r w:rsidRPr="00B3752D">
        <w:rPr>
          <w:sz w:val="28"/>
          <w:szCs w:val="28"/>
        </w:rPr>
        <w:t xml:space="preserve">пунктом 3 </w:t>
      </w:r>
      <w:r w:rsidRPr="00B3752D">
        <w:rPr>
          <w:color w:val="auto"/>
          <w:sz w:val="28"/>
          <w:szCs w:val="28"/>
        </w:rPr>
        <w:t>Перечня</w:t>
      </w:r>
      <w:r w:rsidRPr="00B3752D">
        <w:rPr>
          <w:sz w:val="28"/>
          <w:szCs w:val="28"/>
        </w:rPr>
        <w:t xml:space="preserve"> на территории Иркутской области приостановлена деятельность организаций независимо от организационно-правовой формы и формы собственности, а также индивидуальных предпринимателей (далее - хозяйствующие субъекты), предоставляющих услуги </w:t>
      </w:r>
      <w:r w:rsidRPr="00B3752D">
        <w:rPr>
          <w:color w:val="auto"/>
          <w:sz w:val="28"/>
          <w:szCs w:val="28"/>
        </w:rPr>
        <w:t>общественного питания в фудкортах (код ОКВЭД 2: 56) -  на период по 18 июля 2021 года.</w:t>
      </w:r>
    </w:p>
    <w:p w:rsidR="00AB5015" w:rsidRPr="00B3752D" w:rsidRDefault="00AB5015" w:rsidP="00AB5015">
      <w:pPr>
        <w:pStyle w:val="Default"/>
        <w:ind w:firstLine="709"/>
        <w:jc w:val="both"/>
        <w:rPr>
          <w:color w:val="auto"/>
          <w:sz w:val="28"/>
          <w:szCs w:val="28"/>
        </w:rPr>
      </w:pPr>
      <w:r w:rsidRPr="00B3752D">
        <w:rPr>
          <w:color w:val="auto"/>
          <w:sz w:val="28"/>
          <w:szCs w:val="28"/>
        </w:rPr>
        <w:t>Согласно пункта 5 Перечня деятельность при предоставлении услуг общественного питания на территориях хозяйствующих субъектов, допускается:</w:t>
      </w:r>
    </w:p>
    <w:p w:rsidR="00AB5015" w:rsidRPr="00B3752D" w:rsidRDefault="00AB5015" w:rsidP="00AB5015">
      <w:pPr>
        <w:pStyle w:val="Default"/>
        <w:ind w:firstLine="709"/>
        <w:jc w:val="both"/>
        <w:rPr>
          <w:color w:val="auto"/>
          <w:sz w:val="28"/>
          <w:szCs w:val="28"/>
        </w:rPr>
      </w:pPr>
      <w:r w:rsidRPr="00B3752D">
        <w:rPr>
          <w:color w:val="auto"/>
          <w:sz w:val="28"/>
          <w:szCs w:val="28"/>
        </w:rPr>
        <w:t>при обслуживании на вынос без посещения гражданами помещений таких хозяйствующих субъектов, а также при осуществлении доставки заказов, работы столовых, буфетов, кафе и иных предприятий питания, осуществляющих организацию питания для работников организаций;</w:t>
      </w:r>
    </w:p>
    <w:p w:rsidR="00AB5015" w:rsidRPr="00B3752D" w:rsidRDefault="00AB5015" w:rsidP="00AB5015">
      <w:pPr>
        <w:pStyle w:val="Default"/>
        <w:ind w:firstLine="709"/>
        <w:jc w:val="both"/>
        <w:rPr>
          <w:color w:val="auto"/>
          <w:sz w:val="28"/>
          <w:szCs w:val="28"/>
        </w:rPr>
      </w:pPr>
      <w:r w:rsidRPr="00B3752D">
        <w:rPr>
          <w:color w:val="auto"/>
          <w:sz w:val="28"/>
          <w:szCs w:val="28"/>
        </w:rPr>
        <w:t xml:space="preserve">при условии соблюдения соответствующих рекомендаций и заполнения обеденного зала посетителями не более 50% от установленной нормы при предоставлении услуг общественного питания на территориях хозяйствующих субъектов, осуществляющих деятельность по предоставлению мест для временного проживания (гостиницы, отели, базы отдыха, туристские базы, апартотели, кемпинги, комплексы апартаментов, фермерские гостевые дома и прочее, прошедшие классификацию в соответствии с </w:t>
      </w:r>
      <w:hyperlink r:id="rId11" w:history="1">
        <w:r w:rsidRPr="00B3752D">
          <w:rPr>
            <w:color w:val="auto"/>
            <w:sz w:val="28"/>
            <w:szCs w:val="28"/>
          </w:rPr>
          <w:t>пунктом 7 статьи 5</w:t>
        </w:r>
      </w:hyperlink>
      <w:r w:rsidRPr="00B3752D">
        <w:rPr>
          <w:color w:val="auto"/>
          <w:sz w:val="28"/>
          <w:szCs w:val="28"/>
        </w:rPr>
        <w:t xml:space="preserve"> Федерального закона от 24 ноября 1996 года № 132-ФЗ </w:t>
      </w:r>
      <w:r w:rsidR="00F51D63">
        <w:rPr>
          <w:color w:val="auto"/>
          <w:sz w:val="28"/>
          <w:szCs w:val="28"/>
        </w:rPr>
        <w:t>«</w:t>
      </w:r>
      <w:r w:rsidRPr="00B3752D">
        <w:rPr>
          <w:color w:val="auto"/>
          <w:sz w:val="28"/>
          <w:szCs w:val="28"/>
        </w:rPr>
        <w:t>Об основах туристской деятельности в Российской Федерации</w:t>
      </w:r>
      <w:r w:rsidR="00F51D63">
        <w:rPr>
          <w:color w:val="auto"/>
          <w:sz w:val="28"/>
          <w:szCs w:val="28"/>
        </w:rPr>
        <w:t>»</w:t>
      </w:r>
      <w:r w:rsidRPr="00B3752D">
        <w:rPr>
          <w:color w:val="auto"/>
          <w:sz w:val="28"/>
          <w:szCs w:val="28"/>
        </w:rPr>
        <w:t xml:space="preserve">, </w:t>
      </w:r>
      <w:hyperlink r:id="rId12" w:history="1">
        <w:r w:rsidRPr="00B3752D">
          <w:rPr>
            <w:color w:val="auto"/>
            <w:sz w:val="28"/>
            <w:szCs w:val="28"/>
          </w:rPr>
          <w:t>постановлением</w:t>
        </w:r>
      </w:hyperlink>
      <w:r w:rsidRPr="00B3752D">
        <w:rPr>
          <w:color w:val="auto"/>
          <w:sz w:val="28"/>
          <w:szCs w:val="28"/>
        </w:rPr>
        <w:t xml:space="preserve"> Правительства Российской Федерации от 18 ноября 2020 года № 1860 </w:t>
      </w:r>
      <w:r w:rsidR="00F51D63">
        <w:rPr>
          <w:color w:val="auto"/>
          <w:sz w:val="28"/>
          <w:szCs w:val="28"/>
        </w:rPr>
        <w:t>«</w:t>
      </w:r>
      <w:r w:rsidRPr="00B3752D">
        <w:rPr>
          <w:color w:val="auto"/>
          <w:sz w:val="28"/>
          <w:szCs w:val="28"/>
        </w:rPr>
        <w:t>Об утверждении Положения о классификации гостиниц</w:t>
      </w:r>
      <w:r w:rsidR="00F51D63">
        <w:rPr>
          <w:color w:val="auto"/>
          <w:sz w:val="28"/>
          <w:szCs w:val="28"/>
        </w:rPr>
        <w:t>»</w:t>
      </w:r>
      <w:r w:rsidRPr="00B3752D">
        <w:rPr>
          <w:color w:val="auto"/>
          <w:sz w:val="28"/>
          <w:szCs w:val="28"/>
        </w:rPr>
        <w:t xml:space="preserve">) с обязательным соблюдением требований </w:t>
      </w:r>
      <w:hyperlink r:id="rId13" w:history="1">
        <w:r w:rsidRPr="00B3752D">
          <w:rPr>
            <w:color w:val="auto"/>
            <w:sz w:val="28"/>
            <w:szCs w:val="28"/>
          </w:rPr>
          <w:t>пункта 18</w:t>
        </w:r>
      </w:hyperlink>
      <w:r w:rsidRPr="00B3752D">
        <w:rPr>
          <w:color w:val="auto"/>
          <w:sz w:val="28"/>
          <w:szCs w:val="28"/>
        </w:rPr>
        <w:t xml:space="preserve"> Методических рекомендаций </w:t>
      </w:r>
      <w:r w:rsidR="00F51D63">
        <w:rPr>
          <w:color w:val="auto"/>
          <w:sz w:val="28"/>
          <w:szCs w:val="28"/>
        </w:rPr>
        <w:t>«</w:t>
      </w:r>
      <w:r w:rsidRPr="00B3752D">
        <w:rPr>
          <w:color w:val="auto"/>
          <w:sz w:val="28"/>
          <w:szCs w:val="28"/>
        </w:rPr>
        <w:t>МР 3.1/2.1.0193-20. 3.1. Профилактика инфекционных болезней. 2.1. Коммунальная гигиена. Рекомендации по профилактике новой коронавирусной инфекции (COVID-19) в учреждениях, осуществляющих деятельность по предоставлению мест для временного проживания (гостиницы и иные средства размеще</w:t>
      </w:r>
      <w:r w:rsidR="00F51D63">
        <w:rPr>
          <w:color w:val="auto"/>
          <w:sz w:val="28"/>
          <w:szCs w:val="28"/>
        </w:rPr>
        <w:t xml:space="preserve">ния). Методические </w:t>
      </w:r>
      <w:r w:rsidR="00F51D63">
        <w:rPr>
          <w:color w:val="auto"/>
          <w:sz w:val="28"/>
          <w:szCs w:val="28"/>
        </w:rPr>
        <w:lastRenderedPageBreak/>
        <w:t>рекомендации»</w:t>
      </w:r>
      <w:r w:rsidRPr="00B3752D">
        <w:rPr>
          <w:color w:val="auto"/>
          <w:sz w:val="28"/>
          <w:szCs w:val="28"/>
        </w:rPr>
        <w:t xml:space="preserve"> (утверждены Главным государственным санитарным врачом Российской Федерации 4 июня 2020 года);</w:t>
      </w:r>
    </w:p>
    <w:p w:rsidR="00AB5015" w:rsidRPr="00B3752D" w:rsidRDefault="00AB5015" w:rsidP="00AB5015">
      <w:pPr>
        <w:pStyle w:val="Default"/>
        <w:ind w:firstLine="709"/>
        <w:jc w:val="both"/>
        <w:rPr>
          <w:color w:val="auto"/>
          <w:sz w:val="28"/>
          <w:szCs w:val="28"/>
        </w:rPr>
      </w:pPr>
      <w:r w:rsidRPr="00B3752D">
        <w:rPr>
          <w:color w:val="auto"/>
          <w:sz w:val="28"/>
          <w:szCs w:val="28"/>
        </w:rPr>
        <w:t>при условии соблюдения соответствующих рекомендаций и заполнения обеденного зала посетителями не более 50% от установленной нормы;</w:t>
      </w:r>
    </w:p>
    <w:p w:rsidR="00AB5015" w:rsidRPr="00B3752D" w:rsidRDefault="00AB5015" w:rsidP="00AB5015">
      <w:pPr>
        <w:pStyle w:val="Default"/>
        <w:ind w:firstLine="709"/>
        <w:jc w:val="both"/>
        <w:rPr>
          <w:color w:val="auto"/>
          <w:sz w:val="28"/>
          <w:szCs w:val="28"/>
        </w:rPr>
      </w:pPr>
      <w:r w:rsidRPr="00B3752D">
        <w:rPr>
          <w:color w:val="auto"/>
          <w:sz w:val="28"/>
          <w:szCs w:val="28"/>
        </w:rPr>
        <w:t>при условии рассадки посетителей за одним столом с соблюдением социальной дистанции (1,5 - 2 метра);</w:t>
      </w:r>
    </w:p>
    <w:p w:rsidR="00AB5015" w:rsidRPr="00B3752D" w:rsidRDefault="00AB5015" w:rsidP="00AB5015">
      <w:pPr>
        <w:pStyle w:val="Default"/>
        <w:ind w:firstLine="709"/>
        <w:jc w:val="both"/>
        <w:rPr>
          <w:color w:val="auto"/>
          <w:sz w:val="28"/>
          <w:szCs w:val="28"/>
        </w:rPr>
      </w:pPr>
      <w:bookmarkStart w:id="1" w:name="Par7"/>
      <w:bookmarkEnd w:id="1"/>
      <w:r w:rsidRPr="00B3752D">
        <w:rPr>
          <w:color w:val="auto"/>
          <w:sz w:val="28"/>
          <w:szCs w:val="28"/>
        </w:rPr>
        <w:t>при условии соблюдения режима работы ресторана, кафе, столовой, буфета, бара, закусочной и иного предприятия общественного питания с 6-00 часов до 23-00 часов по местному времени.</w:t>
      </w:r>
    </w:p>
    <w:p w:rsidR="00AB5015" w:rsidRPr="00B3752D" w:rsidRDefault="00AB5015" w:rsidP="00AB5015">
      <w:pPr>
        <w:pStyle w:val="Default"/>
        <w:ind w:firstLine="709"/>
        <w:jc w:val="both"/>
        <w:rPr>
          <w:color w:val="auto"/>
          <w:sz w:val="28"/>
          <w:szCs w:val="28"/>
        </w:rPr>
      </w:pPr>
      <w:r w:rsidRPr="00B3752D">
        <w:rPr>
          <w:color w:val="auto"/>
          <w:sz w:val="28"/>
          <w:szCs w:val="28"/>
        </w:rPr>
        <w:t>Требование предыдущего абзаца (о режиме работы) не распространяется на объекты общественного питания:</w:t>
      </w:r>
    </w:p>
    <w:p w:rsidR="00AB5015" w:rsidRPr="00B3752D" w:rsidRDefault="00AB5015" w:rsidP="00AB5015">
      <w:pPr>
        <w:pStyle w:val="Default"/>
        <w:ind w:firstLine="709"/>
        <w:jc w:val="both"/>
        <w:rPr>
          <w:color w:val="auto"/>
          <w:sz w:val="28"/>
          <w:szCs w:val="28"/>
        </w:rPr>
      </w:pPr>
      <w:r w:rsidRPr="00B3752D">
        <w:rPr>
          <w:color w:val="auto"/>
          <w:sz w:val="28"/>
          <w:szCs w:val="28"/>
        </w:rPr>
        <w:t>расположенные на вокзалах, автовокзалах, в аэропортах, на остановочных пунктах движения железнодорожного транспорта, вдоль дорог федерального, регионального, межмуниципального значения, предназначенные для оказания услуг участникам дорожного движения по пути их следования по междугородним маршрутам, без проведения банкетов, корпоративов, других торжественных мероприятий с 23-00 до 06-00 часов по местному времени;</w:t>
      </w:r>
    </w:p>
    <w:p w:rsidR="00AB5015" w:rsidRPr="00B3752D" w:rsidRDefault="00AB5015" w:rsidP="00AB5015">
      <w:pPr>
        <w:pStyle w:val="Default"/>
        <w:ind w:firstLine="709"/>
        <w:jc w:val="both"/>
        <w:rPr>
          <w:color w:val="auto"/>
          <w:sz w:val="28"/>
          <w:szCs w:val="28"/>
        </w:rPr>
      </w:pPr>
      <w:r w:rsidRPr="00B3752D">
        <w:rPr>
          <w:color w:val="auto"/>
          <w:sz w:val="28"/>
          <w:szCs w:val="28"/>
        </w:rPr>
        <w:t>работающие исключительно при обслуживании на вынос без посещения гражданами помещений таких хозяйствующих субъектов, а также при осуществлении доставки заказов;</w:t>
      </w:r>
    </w:p>
    <w:p w:rsidR="00AB5015" w:rsidRPr="00B3752D" w:rsidRDefault="00AB5015" w:rsidP="00AB5015">
      <w:pPr>
        <w:pStyle w:val="Default"/>
        <w:ind w:firstLine="709"/>
        <w:jc w:val="both"/>
        <w:rPr>
          <w:color w:val="auto"/>
          <w:sz w:val="28"/>
          <w:szCs w:val="28"/>
        </w:rPr>
      </w:pPr>
      <w:r w:rsidRPr="00B3752D">
        <w:rPr>
          <w:color w:val="auto"/>
          <w:sz w:val="28"/>
          <w:szCs w:val="28"/>
        </w:rPr>
        <w:t>расположенные в местах временного размещения граждан при обслуживании исключительно граждан, проживающих в таких местах, без проведения банкетов, корпоративов, других торжественных мероприятий с 23-00 до 06-00 часов по местному времени.</w:t>
      </w:r>
    </w:p>
    <w:p w:rsidR="00AB5015" w:rsidRPr="00B3752D" w:rsidRDefault="00AB5015" w:rsidP="00AB5015">
      <w:pPr>
        <w:autoSpaceDE w:val="0"/>
        <w:autoSpaceDN w:val="0"/>
        <w:adjustRightInd w:val="0"/>
        <w:ind w:firstLine="709"/>
        <w:jc w:val="both"/>
        <w:rPr>
          <w:szCs w:val="28"/>
        </w:rPr>
      </w:pPr>
      <w:r w:rsidRPr="00B3752D">
        <w:rPr>
          <w:szCs w:val="28"/>
        </w:rPr>
        <w:t xml:space="preserve">При осуществлении деятельности хозяйствующих субъектов, предоставляющих услуги ресторанов, кафе, столовых, буфетов, баров, закусочных и иных предприятий общественного питания (код ОКВЭД 2: </w:t>
      </w:r>
      <w:hyperlink r:id="rId14" w:history="1">
        <w:r w:rsidRPr="00B3752D">
          <w:rPr>
            <w:szCs w:val="28"/>
          </w:rPr>
          <w:t>56</w:t>
        </w:r>
      </w:hyperlink>
      <w:r w:rsidRPr="00B3752D">
        <w:rPr>
          <w:szCs w:val="28"/>
        </w:rPr>
        <w:t>), не допускается функционирование танцевальных площадок (танцевальных зон), дискотек, проведение банкетов, корпоративов, других торжественных мероприятий.</w:t>
      </w:r>
    </w:p>
    <w:p w:rsidR="00AB5015" w:rsidRPr="00B3752D" w:rsidRDefault="00AB5015" w:rsidP="00AB5015">
      <w:pPr>
        <w:pStyle w:val="Default"/>
        <w:ind w:firstLine="709"/>
        <w:jc w:val="both"/>
        <w:rPr>
          <w:color w:val="auto"/>
          <w:sz w:val="28"/>
          <w:szCs w:val="28"/>
        </w:rPr>
      </w:pPr>
      <w:r w:rsidRPr="00B3752D">
        <w:rPr>
          <w:color w:val="auto"/>
          <w:sz w:val="28"/>
          <w:szCs w:val="28"/>
        </w:rPr>
        <w:t>Допускается проведение торжественных мероприятий (свадеб) на открытом воздухе с ограничением количества присутствующих не более 30 человек.</w:t>
      </w:r>
    </w:p>
    <w:p w:rsidR="00AB5015" w:rsidRPr="00B3752D" w:rsidRDefault="00AB5015" w:rsidP="00AB5015">
      <w:pPr>
        <w:pStyle w:val="Default"/>
        <w:ind w:firstLine="709"/>
        <w:jc w:val="both"/>
        <w:rPr>
          <w:color w:val="auto"/>
          <w:sz w:val="28"/>
          <w:szCs w:val="28"/>
        </w:rPr>
      </w:pPr>
      <w:r w:rsidRPr="00B3752D">
        <w:rPr>
          <w:color w:val="auto"/>
          <w:sz w:val="28"/>
          <w:szCs w:val="28"/>
        </w:rPr>
        <w:t>Деятельность хозяйствующих субъектов, предоставляющих услуги общественного питания в фудкортах, допускается при соблюдении следующих условий:</w:t>
      </w:r>
    </w:p>
    <w:p w:rsidR="00AB5015" w:rsidRPr="00B3752D" w:rsidRDefault="00AB5015" w:rsidP="00AB5015">
      <w:pPr>
        <w:pStyle w:val="Default"/>
        <w:ind w:firstLine="709"/>
        <w:jc w:val="both"/>
        <w:rPr>
          <w:color w:val="auto"/>
          <w:sz w:val="28"/>
          <w:szCs w:val="28"/>
        </w:rPr>
      </w:pPr>
      <w:r w:rsidRPr="00B3752D">
        <w:rPr>
          <w:color w:val="auto"/>
          <w:sz w:val="28"/>
          <w:szCs w:val="28"/>
        </w:rPr>
        <w:t>обеспечение выбора блюд и напитков бесконтактным способом (с помощью электронных меню);</w:t>
      </w:r>
    </w:p>
    <w:p w:rsidR="00AB5015" w:rsidRPr="00B3752D" w:rsidRDefault="00AB5015" w:rsidP="00AB5015">
      <w:pPr>
        <w:pStyle w:val="Default"/>
        <w:ind w:firstLine="709"/>
        <w:jc w:val="both"/>
        <w:rPr>
          <w:color w:val="auto"/>
          <w:sz w:val="28"/>
          <w:szCs w:val="28"/>
        </w:rPr>
      </w:pPr>
      <w:r w:rsidRPr="00B3752D">
        <w:rPr>
          <w:color w:val="auto"/>
          <w:sz w:val="28"/>
          <w:szCs w:val="28"/>
        </w:rPr>
        <w:t>исключение приема наличных денежных средств для оплаты;</w:t>
      </w:r>
    </w:p>
    <w:p w:rsidR="00AB5015" w:rsidRPr="00B3752D" w:rsidRDefault="00AB5015" w:rsidP="00AB5015">
      <w:pPr>
        <w:pStyle w:val="Default"/>
        <w:ind w:firstLine="709"/>
        <w:jc w:val="both"/>
        <w:rPr>
          <w:color w:val="auto"/>
          <w:sz w:val="28"/>
          <w:szCs w:val="28"/>
        </w:rPr>
      </w:pPr>
      <w:r w:rsidRPr="00B3752D">
        <w:rPr>
          <w:color w:val="auto"/>
          <w:sz w:val="28"/>
          <w:szCs w:val="28"/>
        </w:rPr>
        <w:t>соблюдение расстояния между столами не менее 2 метров;</w:t>
      </w:r>
    </w:p>
    <w:p w:rsidR="00AB5015" w:rsidRPr="00B3752D" w:rsidRDefault="00AB5015" w:rsidP="00AB5015">
      <w:pPr>
        <w:pStyle w:val="Default"/>
        <w:ind w:firstLine="709"/>
        <w:jc w:val="both"/>
        <w:rPr>
          <w:color w:val="auto"/>
          <w:sz w:val="28"/>
          <w:szCs w:val="28"/>
        </w:rPr>
      </w:pPr>
      <w:r w:rsidRPr="00B3752D">
        <w:rPr>
          <w:color w:val="auto"/>
          <w:sz w:val="28"/>
          <w:szCs w:val="28"/>
        </w:rPr>
        <w:t>направление уведомления о начале работы в соответствии с указанными ограничениями на адрес электронной почты potreb@govirk.ru с последующим контролем соблюдения ограничений со стороны службы потребительского рынка и лицензирования Иркутской области.</w:t>
      </w:r>
    </w:p>
    <w:p w:rsidR="00AB5015" w:rsidRPr="00B3752D" w:rsidRDefault="00AB5015" w:rsidP="00AB5015">
      <w:pPr>
        <w:pStyle w:val="Default"/>
        <w:ind w:firstLine="709"/>
        <w:jc w:val="both"/>
        <w:rPr>
          <w:color w:val="auto"/>
          <w:sz w:val="28"/>
          <w:szCs w:val="28"/>
        </w:rPr>
      </w:pPr>
      <w:r w:rsidRPr="00B3752D">
        <w:rPr>
          <w:color w:val="auto"/>
          <w:sz w:val="28"/>
          <w:szCs w:val="28"/>
        </w:rPr>
        <w:t>Также необходимо обеспечи</w:t>
      </w:r>
      <w:r w:rsidR="00753F19">
        <w:rPr>
          <w:color w:val="auto"/>
          <w:sz w:val="28"/>
          <w:szCs w:val="28"/>
        </w:rPr>
        <w:t>ть</w:t>
      </w:r>
      <w:r w:rsidRPr="00B3752D">
        <w:rPr>
          <w:color w:val="auto"/>
          <w:sz w:val="28"/>
          <w:szCs w:val="28"/>
        </w:rPr>
        <w:t xml:space="preserve"> персонал предприятий </w:t>
      </w:r>
      <w:r w:rsidRPr="00B3752D">
        <w:rPr>
          <w:sz w:val="28"/>
          <w:szCs w:val="28"/>
        </w:rPr>
        <w:t>общественного питания</w:t>
      </w:r>
      <w:r w:rsidRPr="00B3752D">
        <w:rPr>
          <w:color w:val="auto"/>
          <w:sz w:val="28"/>
          <w:szCs w:val="28"/>
        </w:rPr>
        <w:t xml:space="preserve"> средствами индивидуальной защиты (одноразовые маски, дезинфицирующие салфетки, кожные антисептики для обработки рук, дезинфицирующие средства), </w:t>
      </w:r>
      <w:r w:rsidR="00753F19">
        <w:rPr>
          <w:color w:val="auto"/>
          <w:sz w:val="28"/>
          <w:szCs w:val="28"/>
        </w:rPr>
        <w:t>пр</w:t>
      </w:r>
      <w:r w:rsidRPr="00B3752D">
        <w:rPr>
          <w:color w:val="auto"/>
          <w:sz w:val="28"/>
          <w:szCs w:val="28"/>
        </w:rPr>
        <w:t>ов</w:t>
      </w:r>
      <w:r w:rsidR="00753F19">
        <w:rPr>
          <w:color w:val="auto"/>
          <w:sz w:val="28"/>
          <w:szCs w:val="28"/>
        </w:rPr>
        <w:t>одить</w:t>
      </w:r>
      <w:r w:rsidRPr="00B3752D">
        <w:rPr>
          <w:color w:val="auto"/>
          <w:sz w:val="28"/>
          <w:szCs w:val="28"/>
        </w:rPr>
        <w:t xml:space="preserve"> ины</w:t>
      </w:r>
      <w:r w:rsidR="00753F19">
        <w:rPr>
          <w:color w:val="auto"/>
          <w:sz w:val="28"/>
          <w:szCs w:val="28"/>
        </w:rPr>
        <w:t>е</w:t>
      </w:r>
      <w:r w:rsidRPr="00B3752D">
        <w:rPr>
          <w:color w:val="auto"/>
          <w:sz w:val="28"/>
          <w:szCs w:val="28"/>
        </w:rPr>
        <w:t xml:space="preserve"> мероприяти</w:t>
      </w:r>
      <w:r w:rsidR="00753F19">
        <w:rPr>
          <w:color w:val="auto"/>
          <w:sz w:val="28"/>
          <w:szCs w:val="28"/>
        </w:rPr>
        <w:t>я</w:t>
      </w:r>
      <w:r w:rsidRPr="00B3752D">
        <w:rPr>
          <w:color w:val="auto"/>
          <w:sz w:val="28"/>
          <w:szCs w:val="28"/>
        </w:rPr>
        <w:t xml:space="preserve"> в соответствии с предписаниями и рекомендациями Роспотребнадзора, в том числе регулярно </w:t>
      </w:r>
      <w:r w:rsidRPr="00B3752D">
        <w:rPr>
          <w:color w:val="auto"/>
          <w:sz w:val="28"/>
          <w:szCs w:val="28"/>
        </w:rPr>
        <w:lastRenderedPageBreak/>
        <w:t xml:space="preserve">протирать дезинфицирующим раствором поверхности с наиболее интенсивным контактом рук потребителей – столы, стойки обслуживания посетителей, дверные ручки и т.д., организовать работу по обеспечению соблюдения социального дистанцирования и минимизации возможного скопления людей на стойках обслуживания посетителей при помощи сигнальной разметки, постоянно предупреждать посетителей о необходимости соблюдать дистанцию минимум 1,5 метра друг от друга, использовать безопасные форматы меню (одноразовые бумажные меню, многоразовые/ламинированные меню (необходима обработка после каждого посетителя), мобильный доступ к меню с устройства посетителя и т.д.). </w:t>
      </w:r>
    </w:p>
    <w:p w:rsidR="008D7411" w:rsidRPr="00AB5015" w:rsidRDefault="008D7411" w:rsidP="008D7411">
      <w:pPr>
        <w:autoSpaceDE w:val="0"/>
        <w:autoSpaceDN w:val="0"/>
        <w:adjustRightInd w:val="0"/>
        <w:ind w:firstLine="709"/>
        <w:jc w:val="both"/>
        <w:rPr>
          <w:sz w:val="16"/>
          <w:szCs w:val="16"/>
        </w:rPr>
      </w:pPr>
    </w:p>
    <w:p w:rsidR="008D7411" w:rsidRPr="00624D65" w:rsidRDefault="008D7411" w:rsidP="008D7411">
      <w:pPr>
        <w:suppressAutoHyphens/>
        <w:jc w:val="center"/>
        <w:rPr>
          <w:szCs w:val="28"/>
        </w:rPr>
      </w:pPr>
    </w:p>
    <w:tbl>
      <w:tblPr>
        <w:tblStyle w:val="a7"/>
        <w:tblpPr w:leftFromText="180" w:rightFromText="180" w:vertAnchor="text" w:horzAnchor="margin" w:tblpY="52"/>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336"/>
        <w:gridCol w:w="2490"/>
      </w:tblGrid>
      <w:tr w:rsidR="0034601C" w:rsidRPr="00D45F2C" w:rsidTr="004F45BC">
        <w:tc>
          <w:tcPr>
            <w:tcW w:w="4672" w:type="dxa"/>
          </w:tcPr>
          <w:p w:rsidR="0034601C" w:rsidRPr="00D45F2C" w:rsidRDefault="0034601C" w:rsidP="0034601C">
            <w:pPr>
              <w:suppressAutoHyphens/>
            </w:pPr>
            <w:bookmarkStart w:id="2" w:name="SIGNERPOST1"/>
            <w:bookmarkEnd w:id="2"/>
          </w:p>
        </w:tc>
        <w:tc>
          <w:tcPr>
            <w:tcW w:w="2336" w:type="dxa"/>
          </w:tcPr>
          <w:p w:rsidR="0034601C" w:rsidRPr="00D45F2C" w:rsidRDefault="0034601C" w:rsidP="0034601C">
            <w:pPr>
              <w:suppressAutoHyphens/>
              <w:jc w:val="center"/>
            </w:pPr>
          </w:p>
        </w:tc>
        <w:tc>
          <w:tcPr>
            <w:tcW w:w="2490" w:type="dxa"/>
            <w:vAlign w:val="bottom"/>
          </w:tcPr>
          <w:p w:rsidR="0034601C" w:rsidRPr="00D45F2C" w:rsidRDefault="0034601C" w:rsidP="0034601C">
            <w:pPr>
              <w:suppressAutoHyphens/>
              <w:jc w:val="right"/>
            </w:pPr>
            <w:bookmarkStart w:id="3" w:name="SIGNERNAME1"/>
            <w:bookmarkEnd w:id="3"/>
          </w:p>
        </w:tc>
      </w:tr>
    </w:tbl>
    <w:p w:rsidR="009E7DFD" w:rsidRPr="0034601C" w:rsidRDefault="009E7DFD" w:rsidP="009E7DFD">
      <w:pPr>
        <w:suppressAutoHyphens/>
        <w:jc w:val="center"/>
        <w:rPr>
          <w:sz w:val="14"/>
          <w:szCs w:val="14"/>
        </w:rPr>
      </w:pPr>
    </w:p>
    <w:p w:rsidR="0034601C" w:rsidRPr="0034601C" w:rsidRDefault="0034601C" w:rsidP="009E7DFD">
      <w:pPr>
        <w:suppressAutoHyphens/>
        <w:jc w:val="center"/>
        <w:rPr>
          <w:sz w:val="14"/>
          <w:szCs w:val="1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6"/>
        <w:gridCol w:w="2336"/>
        <w:gridCol w:w="2773"/>
      </w:tblGrid>
      <w:tr w:rsidR="009E7DFD" w:rsidRPr="00D45F2C" w:rsidTr="005D277D">
        <w:trPr>
          <w:cantSplit/>
        </w:trPr>
        <w:tc>
          <w:tcPr>
            <w:tcW w:w="2336" w:type="dxa"/>
          </w:tcPr>
          <w:p w:rsidR="009E7DFD" w:rsidRPr="00D45F2C" w:rsidRDefault="009E7DFD" w:rsidP="000B25A3">
            <w:pPr>
              <w:suppressAutoHyphens/>
              <w:jc w:val="center"/>
            </w:pPr>
          </w:p>
          <w:p w:rsidR="009E7DFD" w:rsidRPr="00D45F2C" w:rsidRDefault="009E7DFD" w:rsidP="000B25A3">
            <w:pPr>
              <w:suppressAutoHyphens/>
              <w:jc w:val="center"/>
            </w:pPr>
          </w:p>
          <w:p w:rsidR="009E7DFD" w:rsidRPr="00D45F2C" w:rsidRDefault="009E7DFD" w:rsidP="000B25A3">
            <w:pPr>
              <w:suppressAutoHyphens/>
              <w:jc w:val="center"/>
            </w:pPr>
          </w:p>
          <w:p w:rsidR="009E7DFD" w:rsidRPr="00D45F2C" w:rsidRDefault="009E7DFD" w:rsidP="000B25A3">
            <w:pPr>
              <w:suppressAutoHyphens/>
              <w:jc w:val="center"/>
            </w:pPr>
          </w:p>
          <w:p w:rsidR="009E7DFD" w:rsidRPr="00D45F2C" w:rsidRDefault="009E7DFD" w:rsidP="000B25A3">
            <w:pPr>
              <w:suppressAutoHyphens/>
              <w:jc w:val="center"/>
            </w:pPr>
          </w:p>
        </w:tc>
        <w:tc>
          <w:tcPr>
            <w:tcW w:w="2336" w:type="dxa"/>
          </w:tcPr>
          <w:p w:rsidR="009E7DFD" w:rsidRPr="00D45F2C" w:rsidRDefault="009E7DFD" w:rsidP="000B25A3">
            <w:pPr>
              <w:suppressAutoHyphens/>
            </w:pPr>
            <w:bookmarkStart w:id="4" w:name="SIGNERSTAMP1"/>
            <w:bookmarkEnd w:id="4"/>
          </w:p>
        </w:tc>
        <w:tc>
          <w:tcPr>
            <w:tcW w:w="2336" w:type="dxa"/>
          </w:tcPr>
          <w:p w:rsidR="009E7DFD" w:rsidRPr="00D45F2C" w:rsidRDefault="009E7DFD" w:rsidP="000B25A3">
            <w:pPr>
              <w:suppressAutoHyphens/>
              <w:jc w:val="center"/>
            </w:pPr>
          </w:p>
        </w:tc>
        <w:tc>
          <w:tcPr>
            <w:tcW w:w="2773" w:type="dxa"/>
          </w:tcPr>
          <w:p w:rsidR="009E7DFD" w:rsidRPr="00D45F2C" w:rsidRDefault="009E7DFD" w:rsidP="000B25A3">
            <w:pPr>
              <w:suppressAutoHyphens/>
              <w:jc w:val="center"/>
            </w:pPr>
          </w:p>
        </w:tc>
      </w:tr>
    </w:tbl>
    <w:p w:rsidR="002D3678" w:rsidRDefault="002D3678" w:rsidP="009E7DFD">
      <w:pPr>
        <w:suppressAutoHyphens/>
        <w:jc w:val="center"/>
        <w:rPr>
          <w:szCs w:val="28"/>
        </w:rPr>
      </w:pPr>
    </w:p>
    <w:p w:rsidR="00D34175" w:rsidRPr="009472F6" w:rsidRDefault="00D34175" w:rsidP="009E7DFD">
      <w:pPr>
        <w:suppressAutoHyphens/>
        <w:jc w:val="center"/>
        <w:rPr>
          <w:szCs w:val="28"/>
        </w:rPr>
      </w:pPr>
    </w:p>
    <w:tbl>
      <w:tblPr>
        <w:tblStyle w:val="a7"/>
        <w:tblpPr w:leftFromText="180" w:rightFromText="180" w:vertAnchor="text" w:horzAnchor="margin" w:tblpY="2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tblGrid>
      <w:tr w:rsidR="00C94B53" w:rsidTr="00C94B53">
        <w:trPr>
          <w:trHeight w:val="709"/>
        </w:trPr>
        <w:tc>
          <w:tcPr>
            <w:tcW w:w="3718" w:type="dxa"/>
          </w:tcPr>
          <w:p w:rsidR="00C94B53" w:rsidRDefault="00C94B53">
            <w:pPr>
              <w:rPr>
                <w:rFonts w:eastAsia="Calibri"/>
                <w:sz w:val="16"/>
              </w:rPr>
            </w:pPr>
            <w:bookmarkStart w:id="5" w:name="EXECUTOR"/>
            <w:bookmarkEnd w:id="5"/>
          </w:p>
          <w:p w:rsidR="00C94B53" w:rsidRDefault="00C94B53">
            <w:pPr>
              <w:rPr>
                <w:rFonts w:eastAsia="Calibri"/>
                <w:sz w:val="16"/>
              </w:rPr>
            </w:pPr>
          </w:p>
        </w:tc>
      </w:tr>
    </w:tbl>
    <w:p w:rsidR="00291A1E" w:rsidRPr="009472F6" w:rsidRDefault="00291A1E" w:rsidP="00C94B53">
      <w:pPr>
        <w:suppressAutoHyphens/>
        <w:rPr>
          <w:szCs w:val="28"/>
        </w:rPr>
      </w:pPr>
    </w:p>
    <w:sectPr w:rsidR="00291A1E" w:rsidRPr="009472F6" w:rsidSect="00AB5015">
      <w:headerReference w:type="default" r:id="rId15"/>
      <w:pgSz w:w="11907" w:h="16840" w:code="9"/>
      <w:pgMar w:top="851" w:right="567" w:bottom="568" w:left="1418" w:header="426" w:footer="454"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84D" w:rsidRDefault="0094684D">
      <w:r>
        <w:separator/>
      </w:r>
    </w:p>
  </w:endnote>
  <w:endnote w:type="continuationSeparator" w:id="0">
    <w:p w:rsidR="0094684D" w:rsidRDefault="0094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84D" w:rsidRDefault="0094684D">
      <w:r>
        <w:separator/>
      </w:r>
    </w:p>
  </w:footnote>
  <w:footnote w:type="continuationSeparator" w:id="0">
    <w:p w:rsidR="0094684D" w:rsidRDefault="00946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000254"/>
      <w:docPartObj>
        <w:docPartGallery w:val="Page Numbers (Top of Page)"/>
        <w:docPartUnique/>
      </w:docPartObj>
    </w:sdtPr>
    <w:sdtEndPr>
      <w:rPr>
        <w:szCs w:val="28"/>
      </w:rPr>
    </w:sdtEndPr>
    <w:sdtContent>
      <w:p w:rsidR="00A91361" w:rsidRPr="009472F6" w:rsidRDefault="00264F7A">
        <w:pPr>
          <w:pStyle w:val="a3"/>
          <w:jc w:val="center"/>
          <w:rPr>
            <w:szCs w:val="28"/>
          </w:rPr>
        </w:pPr>
        <w:r w:rsidRPr="009472F6">
          <w:rPr>
            <w:szCs w:val="28"/>
          </w:rPr>
          <w:fldChar w:fldCharType="begin"/>
        </w:r>
        <w:r w:rsidR="00A91361" w:rsidRPr="009472F6">
          <w:rPr>
            <w:szCs w:val="28"/>
          </w:rPr>
          <w:instrText>PAGE   \* MERGEFORMAT</w:instrText>
        </w:r>
        <w:r w:rsidRPr="009472F6">
          <w:rPr>
            <w:szCs w:val="28"/>
          </w:rPr>
          <w:fldChar w:fldCharType="separate"/>
        </w:r>
        <w:r w:rsidR="00753F19">
          <w:rPr>
            <w:noProof/>
            <w:szCs w:val="28"/>
          </w:rPr>
          <w:t>2</w:t>
        </w:r>
        <w:r w:rsidRPr="009472F6">
          <w:rPr>
            <w:szCs w:val="28"/>
          </w:rPr>
          <w:fldChar w:fldCharType="end"/>
        </w:r>
      </w:p>
    </w:sdtContent>
  </w:sdt>
  <w:p w:rsidR="00A91361" w:rsidRPr="00415C2A" w:rsidRDefault="00A91361">
    <w:pPr>
      <w:pStyle w:val="a3"/>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142"/>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F3"/>
    <w:rsid w:val="00006F56"/>
    <w:rsid w:val="000402E4"/>
    <w:rsid w:val="00050C97"/>
    <w:rsid w:val="000601B7"/>
    <w:rsid w:val="00060BB6"/>
    <w:rsid w:val="0008235B"/>
    <w:rsid w:val="00093406"/>
    <w:rsid w:val="000A03FE"/>
    <w:rsid w:val="000A1EBA"/>
    <w:rsid w:val="000A41D3"/>
    <w:rsid w:val="000B23F9"/>
    <w:rsid w:val="000B287F"/>
    <w:rsid w:val="000B2FB2"/>
    <w:rsid w:val="000C4897"/>
    <w:rsid w:val="000E0634"/>
    <w:rsid w:val="000E4302"/>
    <w:rsid w:val="000F2228"/>
    <w:rsid w:val="00111036"/>
    <w:rsid w:val="001125FA"/>
    <w:rsid w:val="0011644D"/>
    <w:rsid w:val="00127D1E"/>
    <w:rsid w:val="00127E4D"/>
    <w:rsid w:val="001575E6"/>
    <w:rsid w:val="00160BA5"/>
    <w:rsid w:val="00165361"/>
    <w:rsid w:val="00177A8E"/>
    <w:rsid w:val="0018422D"/>
    <w:rsid w:val="001B0145"/>
    <w:rsid w:val="001B6343"/>
    <w:rsid w:val="001D1420"/>
    <w:rsid w:val="001E2082"/>
    <w:rsid w:val="00217616"/>
    <w:rsid w:val="002200BF"/>
    <w:rsid w:val="00223CE9"/>
    <w:rsid w:val="002246BD"/>
    <w:rsid w:val="002249C1"/>
    <w:rsid w:val="0024768E"/>
    <w:rsid w:val="0024770D"/>
    <w:rsid w:val="00256E0F"/>
    <w:rsid w:val="002609D8"/>
    <w:rsid w:val="00264F7A"/>
    <w:rsid w:val="00277669"/>
    <w:rsid w:val="00291A1E"/>
    <w:rsid w:val="00293C19"/>
    <w:rsid w:val="002A0F5F"/>
    <w:rsid w:val="002A66DD"/>
    <w:rsid w:val="002B0AF8"/>
    <w:rsid w:val="002B67E4"/>
    <w:rsid w:val="002D29D1"/>
    <w:rsid w:val="002D3678"/>
    <w:rsid w:val="002D566E"/>
    <w:rsid w:val="002E31DF"/>
    <w:rsid w:val="002F2855"/>
    <w:rsid w:val="002F59B2"/>
    <w:rsid w:val="00300478"/>
    <w:rsid w:val="0030560A"/>
    <w:rsid w:val="00313122"/>
    <w:rsid w:val="00332271"/>
    <w:rsid w:val="0034601C"/>
    <w:rsid w:val="0035138A"/>
    <w:rsid w:val="00352E54"/>
    <w:rsid w:val="00363B06"/>
    <w:rsid w:val="003A4AA2"/>
    <w:rsid w:val="003A7C98"/>
    <w:rsid w:val="003B3423"/>
    <w:rsid w:val="003B691A"/>
    <w:rsid w:val="003D028C"/>
    <w:rsid w:val="003F2363"/>
    <w:rsid w:val="003F79F3"/>
    <w:rsid w:val="00415C2A"/>
    <w:rsid w:val="00420403"/>
    <w:rsid w:val="00430700"/>
    <w:rsid w:val="00447458"/>
    <w:rsid w:val="004521BA"/>
    <w:rsid w:val="00482B88"/>
    <w:rsid w:val="0049227E"/>
    <w:rsid w:val="004A6B7C"/>
    <w:rsid w:val="004B2865"/>
    <w:rsid w:val="004B344F"/>
    <w:rsid w:val="004C06FC"/>
    <w:rsid w:val="004D169C"/>
    <w:rsid w:val="004D2A80"/>
    <w:rsid w:val="004F2276"/>
    <w:rsid w:val="004F45BC"/>
    <w:rsid w:val="005028DC"/>
    <w:rsid w:val="005220EB"/>
    <w:rsid w:val="0056166D"/>
    <w:rsid w:val="005805C0"/>
    <w:rsid w:val="005831DB"/>
    <w:rsid w:val="005862F8"/>
    <w:rsid w:val="00586C80"/>
    <w:rsid w:val="005B1D8D"/>
    <w:rsid w:val="005B62EC"/>
    <w:rsid w:val="005D1C35"/>
    <w:rsid w:val="005D277D"/>
    <w:rsid w:val="005F0851"/>
    <w:rsid w:val="005F0FB2"/>
    <w:rsid w:val="005F51A4"/>
    <w:rsid w:val="00602985"/>
    <w:rsid w:val="006153BE"/>
    <w:rsid w:val="0065390E"/>
    <w:rsid w:val="00655941"/>
    <w:rsid w:val="0066171C"/>
    <w:rsid w:val="00677437"/>
    <w:rsid w:val="00682C49"/>
    <w:rsid w:val="00693BE3"/>
    <w:rsid w:val="00694349"/>
    <w:rsid w:val="006D1509"/>
    <w:rsid w:val="006E1649"/>
    <w:rsid w:val="006E484E"/>
    <w:rsid w:val="00707051"/>
    <w:rsid w:val="007133BA"/>
    <w:rsid w:val="007163D4"/>
    <w:rsid w:val="0072004B"/>
    <w:rsid w:val="00744FF4"/>
    <w:rsid w:val="00753F19"/>
    <w:rsid w:val="00763BF1"/>
    <w:rsid w:val="00770EDE"/>
    <w:rsid w:val="0077609A"/>
    <w:rsid w:val="00782E2C"/>
    <w:rsid w:val="0079133C"/>
    <w:rsid w:val="007E339B"/>
    <w:rsid w:val="007E6D8D"/>
    <w:rsid w:val="00800CE7"/>
    <w:rsid w:val="00805ED9"/>
    <w:rsid w:val="0080750E"/>
    <w:rsid w:val="0082469A"/>
    <w:rsid w:val="008454F7"/>
    <w:rsid w:val="00845540"/>
    <w:rsid w:val="00857D49"/>
    <w:rsid w:val="0086233C"/>
    <w:rsid w:val="00862838"/>
    <w:rsid w:val="00871007"/>
    <w:rsid w:val="0088736D"/>
    <w:rsid w:val="008A0746"/>
    <w:rsid w:val="008A2404"/>
    <w:rsid w:val="008A3E36"/>
    <w:rsid w:val="008B1A29"/>
    <w:rsid w:val="008B604D"/>
    <w:rsid w:val="008C454A"/>
    <w:rsid w:val="008C4FBA"/>
    <w:rsid w:val="008D058A"/>
    <w:rsid w:val="008D6BD9"/>
    <w:rsid w:val="008D7411"/>
    <w:rsid w:val="008E5D4A"/>
    <w:rsid w:val="008F0B1C"/>
    <w:rsid w:val="008F437D"/>
    <w:rsid w:val="00906EDC"/>
    <w:rsid w:val="009301BC"/>
    <w:rsid w:val="00940F17"/>
    <w:rsid w:val="00942954"/>
    <w:rsid w:val="0094684D"/>
    <w:rsid w:val="009472F6"/>
    <w:rsid w:val="0095356F"/>
    <w:rsid w:val="00970E35"/>
    <w:rsid w:val="009766DA"/>
    <w:rsid w:val="009830F3"/>
    <w:rsid w:val="00985684"/>
    <w:rsid w:val="0099435C"/>
    <w:rsid w:val="00995C1B"/>
    <w:rsid w:val="009A08E2"/>
    <w:rsid w:val="009A32CE"/>
    <w:rsid w:val="009B6987"/>
    <w:rsid w:val="009D3AEC"/>
    <w:rsid w:val="009E7DFD"/>
    <w:rsid w:val="009F4C52"/>
    <w:rsid w:val="00A02D87"/>
    <w:rsid w:val="00A0697E"/>
    <w:rsid w:val="00A13AE5"/>
    <w:rsid w:val="00A3762E"/>
    <w:rsid w:val="00A41087"/>
    <w:rsid w:val="00A45BAF"/>
    <w:rsid w:val="00A51AFB"/>
    <w:rsid w:val="00A51CA0"/>
    <w:rsid w:val="00A56B89"/>
    <w:rsid w:val="00A57372"/>
    <w:rsid w:val="00A65D5E"/>
    <w:rsid w:val="00A66D91"/>
    <w:rsid w:val="00A70ADD"/>
    <w:rsid w:val="00A71854"/>
    <w:rsid w:val="00A73A1A"/>
    <w:rsid w:val="00A75437"/>
    <w:rsid w:val="00A91361"/>
    <w:rsid w:val="00A92093"/>
    <w:rsid w:val="00AA3E70"/>
    <w:rsid w:val="00AB5015"/>
    <w:rsid w:val="00AC05BB"/>
    <w:rsid w:val="00AC1355"/>
    <w:rsid w:val="00AF2082"/>
    <w:rsid w:val="00B14715"/>
    <w:rsid w:val="00B4081F"/>
    <w:rsid w:val="00B56B2F"/>
    <w:rsid w:val="00B679A3"/>
    <w:rsid w:val="00B8298D"/>
    <w:rsid w:val="00B87226"/>
    <w:rsid w:val="00BA7490"/>
    <w:rsid w:val="00BB2953"/>
    <w:rsid w:val="00BB437F"/>
    <w:rsid w:val="00BC33F3"/>
    <w:rsid w:val="00BC3728"/>
    <w:rsid w:val="00BC4363"/>
    <w:rsid w:val="00BC7987"/>
    <w:rsid w:val="00BD3F68"/>
    <w:rsid w:val="00BF49DE"/>
    <w:rsid w:val="00BF51A7"/>
    <w:rsid w:val="00BF7D23"/>
    <w:rsid w:val="00C0452E"/>
    <w:rsid w:val="00C11A82"/>
    <w:rsid w:val="00C173A3"/>
    <w:rsid w:val="00C6169A"/>
    <w:rsid w:val="00C641C2"/>
    <w:rsid w:val="00C64EE6"/>
    <w:rsid w:val="00C81C20"/>
    <w:rsid w:val="00C87109"/>
    <w:rsid w:val="00C91DBB"/>
    <w:rsid w:val="00C94B53"/>
    <w:rsid w:val="00CA047E"/>
    <w:rsid w:val="00CB108E"/>
    <w:rsid w:val="00CB45A1"/>
    <w:rsid w:val="00CC2CEE"/>
    <w:rsid w:val="00CC78B9"/>
    <w:rsid w:val="00CE0120"/>
    <w:rsid w:val="00CE1339"/>
    <w:rsid w:val="00CE180C"/>
    <w:rsid w:val="00CF1C95"/>
    <w:rsid w:val="00D0131E"/>
    <w:rsid w:val="00D035F1"/>
    <w:rsid w:val="00D26423"/>
    <w:rsid w:val="00D31BB1"/>
    <w:rsid w:val="00D34175"/>
    <w:rsid w:val="00D54C64"/>
    <w:rsid w:val="00D57007"/>
    <w:rsid w:val="00D9040E"/>
    <w:rsid w:val="00DA3E82"/>
    <w:rsid w:val="00DC486E"/>
    <w:rsid w:val="00DD224E"/>
    <w:rsid w:val="00DE45EE"/>
    <w:rsid w:val="00DE6BF5"/>
    <w:rsid w:val="00DF4537"/>
    <w:rsid w:val="00E109F6"/>
    <w:rsid w:val="00E20AAC"/>
    <w:rsid w:val="00E21198"/>
    <w:rsid w:val="00E31429"/>
    <w:rsid w:val="00E34335"/>
    <w:rsid w:val="00E70F4E"/>
    <w:rsid w:val="00E73A67"/>
    <w:rsid w:val="00E90CD5"/>
    <w:rsid w:val="00E92544"/>
    <w:rsid w:val="00E95715"/>
    <w:rsid w:val="00EA7600"/>
    <w:rsid w:val="00EC14FA"/>
    <w:rsid w:val="00EC2399"/>
    <w:rsid w:val="00EC4F84"/>
    <w:rsid w:val="00ED10F8"/>
    <w:rsid w:val="00F051F2"/>
    <w:rsid w:val="00F1051E"/>
    <w:rsid w:val="00F12836"/>
    <w:rsid w:val="00F12E44"/>
    <w:rsid w:val="00F37BD0"/>
    <w:rsid w:val="00F51D63"/>
    <w:rsid w:val="00F60283"/>
    <w:rsid w:val="00F73700"/>
    <w:rsid w:val="00F81707"/>
    <w:rsid w:val="00F82A08"/>
    <w:rsid w:val="00F871CE"/>
    <w:rsid w:val="00F972D3"/>
    <w:rsid w:val="00FA2613"/>
    <w:rsid w:val="00FB6CC0"/>
    <w:rsid w:val="00FB785D"/>
    <w:rsid w:val="00FE5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19EFA5-3882-499A-9530-09A2E798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F7A"/>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64F7A"/>
    <w:pPr>
      <w:tabs>
        <w:tab w:val="center" w:pos="4536"/>
        <w:tab w:val="right" w:pos="9072"/>
      </w:tabs>
    </w:pPr>
  </w:style>
  <w:style w:type="paragraph" w:styleId="a5">
    <w:name w:val="footer"/>
    <w:basedOn w:val="a"/>
    <w:rsid w:val="00264F7A"/>
    <w:pPr>
      <w:tabs>
        <w:tab w:val="center" w:pos="4536"/>
        <w:tab w:val="right" w:pos="9072"/>
      </w:tabs>
    </w:pPr>
  </w:style>
  <w:style w:type="character" w:styleId="a6">
    <w:name w:val="page number"/>
    <w:basedOn w:val="a0"/>
    <w:rsid w:val="00264F7A"/>
  </w:style>
  <w:style w:type="paragraph" w:customStyle="1" w:styleId="1">
    <w:name w:val="Цитата1"/>
    <w:basedOn w:val="a"/>
    <w:rsid w:val="00264F7A"/>
    <w:pPr>
      <w:spacing w:before="160" w:after="480" w:line="240" w:lineRule="exact"/>
      <w:ind w:left="57" w:right="4820"/>
      <w:jc w:val="both"/>
    </w:pPr>
  </w:style>
  <w:style w:type="table" w:styleId="a7">
    <w:name w:val="Table Grid"/>
    <w:basedOn w:val="a1"/>
    <w:rsid w:val="00586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7E6D8D"/>
    <w:rPr>
      <w:rFonts w:ascii="Tahoma" w:hAnsi="Tahoma" w:cs="Tahoma"/>
      <w:sz w:val="16"/>
      <w:szCs w:val="16"/>
    </w:rPr>
  </w:style>
  <w:style w:type="paragraph" w:customStyle="1" w:styleId="Default">
    <w:name w:val="Default"/>
    <w:rsid w:val="00FB6CC0"/>
    <w:pPr>
      <w:autoSpaceDE w:val="0"/>
      <w:autoSpaceDN w:val="0"/>
      <w:adjustRightInd w:val="0"/>
    </w:pPr>
    <w:rPr>
      <w:color w:val="000000"/>
      <w:sz w:val="24"/>
      <w:szCs w:val="24"/>
    </w:rPr>
  </w:style>
  <w:style w:type="character" w:styleId="a9">
    <w:name w:val="Hyperlink"/>
    <w:basedOn w:val="a0"/>
    <w:rsid w:val="00291A1E"/>
    <w:rPr>
      <w:color w:val="0563C1" w:themeColor="hyperlink"/>
      <w:u w:val="single"/>
    </w:rPr>
  </w:style>
  <w:style w:type="character" w:customStyle="1" w:styleId="a4">
    <w:name w:val="Верхний колонтитул Знак"/>
    <w:basedOn w:val="a0"/>
    <w:link w:val="a3"/>
    <w:uiPriority w:val="99"/>
    <w:rsid w:val="00A91361"/>
    <w:rPr>
      <w:sz w:val="28"/>
    </w:rPr>
  </w:style>
  <w:style w:type="paragraph" w:styleId="aa">
    <w:name w:val="Body Text"/>
    <w:basedOn w:val="a"/>
    <w:link w:val="ab"/>
    <w:rsid w:val="002246BD"/>
    <w:pPr>
      <w:spacing w:after="120"/>
    </w:pPr>
  </w:style>
  <w:style w:type="character" w:customStyle="1" w:styleId="ab">
    <w:name w:val="Основной текст Знак"/>
    <w:basedOn w:val="a0"/>
    <w:link w:val="aa"/>
    <w:rsid w:val="002246BD"/>
    <w:rPr>
      <w:sz w:val="28"/>
    </w:rPr>
  </w:style>
  <w:style w:type="character" w:customStyle="1" w:styleId="link">
    <w:name w:val="link"/>
    <w:basedOn w:val="a0"/>
    <w:rsid w:val="00E92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839042">
      <w:bodyDiv w:val="1"/>
      <w:marLeft w:val="0"/>
      <w:marRight w:val="0"/>
      <w:marTop w:val="0"/>
      <w:marBottom w:val="0"/>
      <w:divBdr>
        <w:top w:val="none" w:sz="0" w:space="0" w:color="auto"/>
        <w:left w:val="none" w:sz="0" w:space="0" w:color="auto"/>
        <w:bottom w:val="none" w:sz="0" w:space="0" w:color="auto"/>
        <w:right w:val="none" w:sz="0" w:space="0" w:color="auto"/>
      </w:divBdr>
    </w:div>
    <w:div w:id="1240285408">
      <w:bodyDiv w:val="1"/>
      <w:marLeft w:val="0"/>
      <w:marRight w:val="0"/>
      <w:marTop w:val="0"/>
      <w:marBottom w:val="0"/>
      <w:divBdr>
        <w:top w:val="none" w:sz="0" w:space="0" w:color="auto"/>
        <w:left w:val="none" w:sz="0" w:space="0" w:color="auto"/>
        <w:bottom w:val="none" w:sz="0" w:space="0" w:color="auto"/>
        <w:right w:val="none" w:sz="0" w:space="0" w:color="auto"/>
      </w:divBdr>
    </w:div>
    <w:div w:id="153230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F048777CC2BF93363B195A48D5A43D6CB342760F02B1BB17A0F129C3C4EED01D0C241A8453BD4C27264C127ABC8C9DBB1DD717166D938EBCv8x9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F048777CC2BF93363B195A48D5A43D6CB3417A0E05B1BB17A0F129C3C4EED01D1E24428852BF52242359442BFAvDx8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F048777CC2BF93363B195A48D5A43D6CB34F750700BFBB17A0F129C3C4EED01D0C241A8D52B4477075031326F9DB8EBA18D7151171v9x0G" TargetMode="Externa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D3CAD660F3F0E0A26580461DC5BAC9FB2C2BD50CC9BD6BF0C0CEC20DB33D3601131C70F9E3E4D5EF04F47AD38D52B3D5A512C060951186CC605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A726CD850C6124EA5E1285C2704ACAF" ma:contentTypeVersion="0" ma:contentTypeDescription="Создание документа." ma:contentTypeScope="" ma:versionID="2fac7c2e50939f1770581a44ef649fcd">
  <xsd:schema xmlns:xsd="http://www.w3.org/2001/XMLSchema" xmlns:xs="http://www.w3.org/2001/XMLSchema" xmlns:p="http://schemas.microsoft.com/office/2006/metadata/properties" xmlns:ns2="0610b265-b51e-4be1-ae61-790323ddb9f7" targetNamespace="http://schemas.microsoft.com/office/2006/metadata/properties" ma:root="true" ma:fieldsID="afb2245a8354bbbac4b0f4d042c99280" ns2:_="">
    <xsd:import namespace="0610b265-b51e-4be1-ae61-790323ddb9f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0b265-b51e-4be1-ae61-790323ddb9f7"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624F5-AD6F-4427-82E2-E62CE1E4D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0b265-b51e-4be1-ae61-790323ddb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200830-84B2-44D0-8418-8329289D15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EE2D06-42AF-4E8D-AE9C-97B1D7FD389D}">
  <ds:schemaRefs>
    <ds:schemaRef ds:uri="http://schemas.microsoft.com/sharepoint/v3/contenttype/forms"/>
  </ds:schemaRefs>
</ds:datastoreItem>
</file>

<file path=customXml/itemProps4.xml><?xml version="1.0" encoding="utf-8"?>
<ds:datastoreItem xmlns:ds="http://schemas.openxmlformats.org/officeDocument/2006/customXml" ds:itemID="{1F6EEC24-5370-45F4-9CBC-9A9A3E9B1486}">
  <ds:schemaRefs>
    <ds:schemaRef ds:uri="http://schemas.microsoft.com/sharepoint/events"/>
  </ds:schemaRefs>
</ds:datastoreItem>
</file>

<file path=customXml/itemProps5.xml><?xml version="1.0" encoding="utf-8"?>
<ds:datastoreItem xmlns:ds="http://schemas.openxmlformats.org/officeDocument/2006/customXml" ds:itemID="{E44932E5-9478-4AE5-BF9D-1B7C8600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1039</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И83</vt:lpstr>
    </vt:vector>
  </TitlesOfParts>
  <Company>Управление информационного и документационного обеспечения</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И83</dc:title>
  <dc:subject/>
  <dc:creator>User</dc:creator>
  <cp:keywords/>
  <dc:description/>
  <cp:lastModifiedBy>Сергей</cp:lastModifiedBy>
  <cp:revision>3</cp:revision>
  <cp:lastPrinted>2021-07-12T07:31:00Z</cp:lastPrinted>
  <dcterms:created xsi:type="dcterms:W3CDTF">2021-07-14T02:01:00Z</dcterms:created>
  <dcterms:modified xsi:type="dcterms:W3CDTF">2021-07-14T02:11:00Z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0x0101003A726CD850C6124EA5E1285C2704ACAF</vt:lpwstr>
  </property>
</Properties>
</file>